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§422-A. Cash reserves on deposits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Cash reserves on deposits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§422-A. CASH RESERVES ON DEPOSITS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