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Borrowing</w:t>
      </w:r>
    </w:p>
    <w:p>
      <w:pPr>
        <w:jc w:val="both"/>
        <w:spacing w:before="100" w:after="0"/>
        <w:ind w:start="360"/>
        <w:ind w:firstLine="360"/>
      </w:pPr>
      <w:r>
        <w:rPr>
          <w:b/>
        </w:rPr>
        <w:t>1</w:t>
        <w:t xml:space="preserve">.  </w:t>
      </w:r>
      <w:r>
        <w:rPr>
          <w:b/>
        </w:rPr>
        <w:t xml:space="preserve">Limitation.</w:t>
        <w:t xml:space="preserve"> </w:t>
      </w:r>
      <w:r>
        <w:t xml:space="preserve"> </w:t>
      </w:r>
      <w:r>
        <w:t xml:space="preserve">A credit union may borrow moneys from any source; provided that its aggregate borrowing shall not exceed 50% of its paid-in share capital and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Exceeding limitation.</w:t>
        <w:t xml:space="preserve"> </w:t>
      </w:r>
      <w:r>
        <w:t xml:space="preserve"> </w:t>
      </w:r>
      <w:r>
        <w:t xml:space="preserve">Upon making application to and receiving the written approval of the superintendent, a credit union may borrow in excess of the limitation set forth in </w:t>
      </w:r>
      <w:r>
        <w:t>subsection 1</w:t>
      </w:r>
      <w:r>
        <w:t xml:space="preserve">, but not in excess of the amount stated in such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§822.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§822.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