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841</w:t>
        <w:t xml:space="preserve">.  </w:t>
      </w:r>
      <w:r>
        <w:rPr>
          <w:b/>
        </w:rPr>
        <w:t xml:space="preserve">Management in general</w:t>
      </w:r>
    </w:p>
    <w:p>
      <w:pPr>
        <w:jc w:val="both"/>
        <w:spacing w:before="100" w:after="100"/>
        <w:ind w:start="360"/>
        <w:ind w:firstLine="360"/>
      </w:pPr>
      <w:r>
        <w:rPr/>
      </w:r>
      <w:r>
        <w:rPr/>
      </w:r>
      <w:r>
        <w:t xml:space="preserve">The management and operations of a credit union must be conducted in accordance with the provisions of </w:t>
      </w:r>
      <w:r>
        <w:t>Title 13‑C</w:t>
      </w:r>
      <w:r>
        <w:t xml:space="preserve">, except as provided in this chapter and elsewhere in this Part.</w:t>
      </w:r>
      <w:r>
        <w:t xml:space="preserve">  </w:t>
      </w:r>
      <w:r xmlns:wp="http://schemas.openxmlformats.org/drawingml/2010/wordprocessingDrawing" xmlns:w15="http://schemas.microsoft.com/office/word/2012/wordml">
        <w:rPr>
          <w:rFonts w:ascii="Arial" w:hAnsi="Arial" w:cs="Arial"/>
          <w:sz w:val="22"/>
          <w:szCs w:val="22"/>
        </w:rPr>
        <w:t xml:space="preserve">[RR 2001, c. 2, Pt. B, §16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§841. Management in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§841. Management in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§841. MANAGEMENT IN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