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Prohibited practices</w:t>
      </w:r>
    </w:p>
    <w:p>
      <w:pPr>
        <w:jc w:val="both"/>
        <w:spacing w:before="100" w:after="100"/>
        <w:ind w:start="360"/>
        <w:ind w:firstLine="360"/>
      </w:pPr>
      <w:r>
        <w:rPr/>
      </w:r>
      <w:r>
        <w:rPr/>
      </w:r>
      <w:r>
        <w:t xml:space="preserve">All credit unions organized pursuant to or subject to the laws of this State, and the directors and officers of such credit unions, shall be subject to the prohibitions and restrictions provided for in </w:t>
      </w:r>
      <w:r>
        <w:t>chapter 46</w:t>
      </w:r>
      <w:r>
        <w:t xml:space="preserve">, except that the superintendent may, upon application and for good cause shown, permit an officer or director of one credit union to hold office in another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§881.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§881.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