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TAXATION OF FOREIGN BANKING INSTITUTIONS</w:t>
      </w:r>
    </w:p>
    <w:p>
      <w:pPr>
        <w:jc w:val="center"/>
        <w:ind w:start="360"/>
        <w:spacing w:before="300" w:after="300"/>
      </w:pPr>
      <w:r>
        <w:rPr>
          <w:b/>
        </w:rPr>
        <w:t>(REPEALED)</w:t>
      </w:r>
    </w:p>
    <w:p>
      <w:pPr>
        <w:jc w:val="both"/>
        <w:spacing w:before="100" w:after="100"/>
        <w:ind w:start="1080" w:hanging="720"/>
      </w:pPr>
      <w:r>
        <w:rPr>
          <w:b/>
        </w:rPr>
        <w:t>§</w:t>
        <w:t>91</w:t>
        <w:t xml:space="preserve">.  </w:t>
      </w:r>
      <w:r>
        <w:rPr>
          <w:b/>
        </w:rPr>
        <w:t xml:space="preserve">Rate and computation of tax; due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92</w:t>
        <w:t xml:space="preserve">.  </w:t>
      </w:r>
      <w:r>
        <w:rPr>
          <w:b/>
        </w:rPr>
        <w:t xml:space="preserve">Report of business volume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93</w:t>
        <w:t xml:space="preserve">.  </w:t>
      </w:r>
      <w:r>
        <w:rPr>
          <w:b/>
        </w:rPr>
        <w:t xml:space="preserve">Account of money used and deposits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TAXATION OF FOREIGN BANKING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TAXATION OF FOREIGN BANKING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5. TAXATION OF FOREIGN BANKING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