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1500-OO</w:t>
        <w:t xml:space="preserve">.  </w:t>
      </w:r>
      <w:r>
        <w:rPr>
          <w:b/>
        </w:rPr>
        <w:t xml:space="preserve">Criminal records</w:t>
      </w:r>
    </w:p>
    <w:p>
      <w:pPr>
        <w:jc w:val="both"/>
        <w:spacing w:before="100" w:after="100"/>
        <w:ind w:start="360"/>
      </w:pPr>
      <w:r>
        <w:rPr>
          <w:b/>
        </w:rPr>
        <w:t>(REALLOCATED FROM TITLE 10, SECTION 1500-BB)</w:t>
      </w:r>
    </w:p>
    <w:p>
      <w:pPr>
        <w:jc w:val="both"/>
        <w:spacing w:before="100" w:after="100"/>
        <w:ind w:start="360"/>
        <w:ind w:firstLine="360"/>
      </w:pPr>
      <w:r>
        <w:rPr/>
      </w:r>
      <w:r>
        <w:rPr/>
      </w:r>
      <w:r>
        <w:t xml:space="preserve">A business screening service may disseminate only criminal history record information that reflects the complete and accurate record provided by the source of the criminal history record information. A complete and accurate record is a record that has been updated within 30 days of its receipt or been verified with the source of the criminal history record information within the previous 90 days as being up-to-date.</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§57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§57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§1500-OO. Criminal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§1500-OO. Criminal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§1500-OO. CRIMINAL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