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Excuse by failure of presupposed conditions</w:t>
      </w:r>
    </w:p>
    <w:p>
      <w:pPr>
        <w:jc w:val="both"/>
        <w:spacing w:before="100" w:after="100"/>
        <w:ind w:start="360"/>
        <w:ind w:firstLine="360"/>
      </w:pPr>
      <w:r>
        <w:rPr/>
      </w:r>
      <w:r>
        <w:rPr/>
      </w:r>
      <w:r>
        <w:t xml:space="preserve">Except so far as a seller may have assumed a greater obligation and subject to </w:t>
      </w:r>
      <w:r>
        <w:t>section 2‑614</w:t>
      </w:r>
      <w:r>
        <w:t xml:space="preserve"> on substituted performance</w:t>
      </w:r>
    </w:p>
    <w:p>
      <w:pPr>
        <w:jc w:val="both"/>
        <w:spacing w:before="100" w:after="100"/>
        <w:ind w:start="360"/>
        <w:ind w:firstLine="360"/>
      </w:pPr>
      <w:r>
        <w:rPr>
          <w:b/>
        </w:rPr>
        <w:t>(1)</w:t>
        <w:t xml:space="preserve">.  </w:t>
      </w:r>
      <w:r>
        <w:rPr>
          <w:b/>
        </w:rPr>
      </w:r>
      <w:r>
        <w:t xml:space="preserve"> </w:t>
      </w:r>
      <w:r>
        <w:t xml:space="preserve">Delay in delivery or nondelivery in whole or in part by a seller who complies with </w:t>
      </w:r>
      <w:r>
        <w:t>subsections (2)</w:t>
      </w:r>
      <w:r>
        <w:t xml:space="preserve"> and </w:t>
      </w:r>
      <w:r>
        <w:t>(3)</w:t>
      </w:r>
      <w:r>
        <w:t xml:space="preserve">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pPr>
        <w:jc w:val="both"/>
        <w:spacing w:before="100" w:after="100"/>
        <w:ind w:start="360"/>
        <w:ind w:firstLine="360"/>
      </w:pPr>
      <w:r>
        <w:rPr>
          <w:b/>
        </w:rPr>
        <w:t>(2)</w:t>
        <w:t xml:space="preserve">.  </w:t>
      </w:r>
      <w:r>
        <w:rPr>
          <w:b/>
        </w:rPr>
      </w:r>
      <w:r>
        <w:t xml:space="preserve"> </w:t>
      </w:r>
      <w:r>
        <w:t xml:space="preserve">Where the causes mentioned in </w:t>
      </w:r>
      <w:r>
        <w:t>subsection (1)</w:t>
      </w:r>
      <w:r>
        <w:t xml:space="preserve">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pPr>
        <w:jc w:val="both"/>
        <w:spacing w:before="100" w:after="100"/>
        <w:ind w:start="360"/>
        <w:ind w:firstLine="360"/>
      </w:pPr>
      <w:r>
        <w:rPr>
          <w:b/>
        </w:rPr>
        <w:t>(3)</w:t>
        <w:t xml:space="preserve">.  </w:t>
      </w:r>
      <w:r>
        <w:rPr>
          <w:b/>
        </w:rPr>
      </w:r>
      <w:r>
        <w:t xml:space="preserve"> </w:t>
      </w:r>
      <w:r>
        <w:t xml:space="preserve">The seller must notify the buyer seasonably that there will be delay or nondelivery and, when allocation is required under </w:t>
      </w:r>
      <w:r>
        <w:t>subsection (2)</w:t>
      </w:r>
      <w:r>
        <w:t xml:space="preserve">, of the estimated quota thus made available for the buyer.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§2-615. Excuse by failure of presupposed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Excuse by failure of presupposed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§2-615. EXCUSE BY FAILURE OF PRESUPPOSED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