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6404-L</w:t>
        <w:t xml:space="preserve">.  </w:t>
      </w:r>
      <w:r>
        <w:rPr>
          <w:b/>
        </w:rPr>
        <w:t xml:space="preserve">Suspension or revocation based on interstate wildlife violator compact</w:t>
      </w:r>
    </w:p>
    <w:p>
      <w:pPr>
        <w:jc w:val="both"/>
        <w:spacing w:before="100" w:after="100"/>
        <w:ind w:start="360"/>
        <w:ind w:firstLine="360"/>
      </w:pPr>
      <w:r>
        <w:rPr/>
      </w:r>
      <w:r>
        <w:rPr/>
      </w:r>
      <w:r>
        <w:t xml:space="preserve">The commissioner may suspend or revoke the license, privilege or right of any person to fish for, take, possess or transport any marine organism to the extent that the license, privilege or right has been suspended or revoked by another member state of an interstate wildlife violator compact entered into by the commissioner pursuant to </w:t>
      </w:r>
      <w:r>
        <w:t>section 6022, subsection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§6404-L. Suspension or revocation based on interstate wildlife violator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§6404-L. Suspension or revocation based on interstate wildlife violator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§6404-L. SUSPENSION OR REVOCATION BASED ON INTERSTATE WILDLIFE VIOLATOR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