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301-A</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by </w:t>
      </w:r>
      <w:r>
        <w:t>section 201</w:t>
      </w:r>
      <w:r>
        <w:t xml:space="preserve">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as provided in </w:t>
      </w:r>
      <w:r>
        <w:t>sections 104</w:t>
      </w:r>
      <w:r>
        <w:t xml:space="preserve"> and </w:t>
      </w:r>
      <w:r>
        <w:t>106</w:t>
      </w:r>
      <w:r>
        <w:t xml:space="preserve"> or as provided in the applicable law for that entity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§10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§10 (AMD); PL 2005, c. 543, Pt. D, §18 (AFF).]</w:t>
      </w:r>
    </w:p>
    <w:p>
      <w:pPr>
        <w:jc w:val="both"/>
        <w:spacing w:before="100" w:after="0"/>
        <w:ind w:start="360"/>
        <w:ind w:firstLine="360"/>
      </w:pPr>
      <w:r>
        <w:rPr>
          <w:b/>
        </w:rPr>
        <w:t>7</w:t>
        <w:t xml:space="preserve">.  </w:t>
      </w:r>
      <w:r>
        <w:rPr>
          <w:b/>
        </w:rPr>
        <w:t xml:space="preserve">Change of corporate name by foreign corporation.</w:t>
        <w:t xml:space="preserve"> </w:t>
      </w:r>
      <w:r>
        <w:t xml:space="preserve"> </w:t>
      </w:r>
      <w:r>
        <w:t xml:space="preserve">If a foreign corporation authorized to carry on activities in this State changes its corporate name to one that does not satisfy the requirements of this section, the foreign corporation may not carry on activities in this State under the proposed new name until it adopts a name satisfying the requirements of this section and files an amended application for authority under </w:t>
      </w:r>
      <w:r>
        <w:t>section 1207</w:t>
      </w:r>
      <w:r>
        <w:t xml:space="preserve"> that is accompanied by a statement of use of a fictitious name under </w:t>
      </w:r>
      <w:r>
        <w:t>section 308‑A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0"/>
        <w:ind w:start="360"/>
        <w:ind w:firstLine="360"/>
      </w:pPr>
      <w:r>
        <w:rPr>
          <w:b/>
        </w:rPr>
        <w:t>8</w:t>
        <w:t xml:space="preserve">.  </w:t>
      </w:r>
      <w:r>
        <w:rPr>
          <w:b/>
        </w:rPr>
        <w:t xml:space="preserve">Violations of this section.</w:t>
        <w:t xml:space="preserve"> </w:t>
      </w:r>
      <w:r>
        <w:t xml:space="preserve"> </w:t>
      </w:r>
      <w:r>
        <w:t xml:space="preserve">If a corporation has in other respects complied with this Title and its articles of incorporation have been filed, or if a foreign corporation has in other respects satisfied this Title and has been authorized to carry on activities in this State, subsequent discovery of a violation of the foregoing provisions of this section does not invalidate its corporate existence or authority, but the courts of this State may, upon application of the State or of any interested or affected person, enjoin such violation and grant any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§B9 (NEW). PL 2005, c. 543, §D10 (AMD). PL 2005, c. 543, §D18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§301-A. Corporate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§301-A. Corporate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§301-A. CORPORATE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