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1344</w:t>
        <w:t xml:space="preserve">.  </w:t>
      </w:r>
      <w:r>
        <w:rPr>
          <w:b/>
        </w:rPr>
        <w:t xml:space="preserve">Supervisory control of health authorities</w:t>
      </w:r>
    </w:p>
    <w:p>
      <w:pPr>
        <w:jc w:val="both"/>
        <w:spacing w:before="100" w:after="100"/>
        <w:ind w:start="360"/>
        <w:ind w:firstLine="360"/>
      </w:pPr>
      <w:r>
        <w:rPr/>
      </w:r>
      <w:r>
        <w:rPr/>
      </w:r>
      <w:r>
        <w:t xml:space="preserve">The Bureau of Health shall have supervisory control over the erection of any such community mausoleum and shall enforce compliance with the approved plans and specifications therefor. Such bureau shall determine the reasonable amount of compensation for such supervision, which compensation shall be paid by the cemetery association or other agency erecting such community mausoleum. No departure from the original plans and specifications shall be permitted, except upon approval of the said Bureau of Health evidenced in like manner and form as the approval of the original plans and specifications.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§1344. Supervisory control of health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§1344. Supervisory control of health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§1344. SUPERVISORY CONTROL OF HEALTH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