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2231</w:t>
        <w:t xml:space="preserve">.  </w:t>
      </w:r>
      <w:r>
        <w:rPr>
          <w:b/>
        </w:rPr>
        <w:t xml:space="preserve">Authorized activities</w:t>
      </w:r>
    </w:p>
    <w:p>
      <w:pPr>
        <w:jc w:val="both"/>
        <w:spacing w:before="100" w:after="100"/>
        <w:ind w:start="360"/>
        <w:ind w:firstLine="360"/>
      </w:pPr>
      <w:r>
        <w:rPr/>
      </w:r>
      <w:r>
        <w:rPr/>
      </w:r>
      <w:r>
        <w:t xml:space="preserve">An association may engage in any activity in connection with the marketing, selling, preserving, harvesting, drying, processing, manufacturing, canning, packing, grading, storing, handling or utilization of any fishery products produced or delivered to it by its members; or the manufacturing or marketing of the by-products thereof; or any activity in connection with the purchase, hiring or use by its members of supplies, machinery or equipment; or in the financing of any such activities.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§2231. Authorized activities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§2231. Authorized activities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§2231. AUTHORIZED ACTIVITIES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