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3115</w:t>
        <w:t xml:space="preserve">.  </w:t>
      </w:r>
      <w:r>
        <w:rPr>
          <w:b/>
        </w:rPr>
        <w:t xml:space="preserve">Minority may occupy their share of time unless majority purchases</w:t>
      </w:r>
    </w:p>
    <w:p>
      <w:pPr>
        <w:jc w:val="both"/>
        <w:spacing w:before="100" w:after="100"/>
        <w:ind w:start="360"/>
        <w:ind w:firstLine="360"/>
      </w:pPr>
      <w:r>
        <w:rPr/>
      </w:r>
      <w:r>
        <w:rPr/>
      </w:r>
      <w:r>
        <w:t xml:space="preserve">The minority may occupy the house for their allotted time, unless the majority purchase their interest by paying the minority the sum at which it was appraised by the board; but if the minority decline so to sell, they shall not avail themselves of </w:t>
      </w:r>
      <w:r>
        <w:t>sections 3111</w:t>
      </w:r>
      <w:r>
        <w:t xml:space="preserve"> to </w:t>
      </w:r>
      <w:r>
        <w:t>3114</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§3115. Minority may occupy their share of time unless majority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§3115. Minority may occupy their share of time unless majority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§3115. MINORITY MAY OCCUPY THEIR SHARE OF TIME UNLESS MAJORITY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