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931-A</w:t>
        <w:t xml:space="preserve">.  </w:t>
      </w:r>
      <w:r>
        <w:rPr>
          <w:b/>
        </w:rPr>
        <w:t xml:space="preserve">Bylaws; disposal of assets</w:t>
      </w:r>
    </w:p>
    <w:p>
      <w:pPr>
        <w:jc w:val="both"/>
        <w:spacing w:before="100" w:after="100"/>
        <w:ind w:start="360"/>
        <w:ind w:firstLine="360"/>
      </w:pPr>
      <w:r>
        <w:rPr/>
      </w:r>
      <w:r>
        <w:rPr/>
      </w:r>
      <w:r>
        <w:t xml:space="preserve">The bylaws of a corporation organized under this chapter after the effective date of this section must provide for the disposal of the corporation's assets.</w:t>
      </w:r>
      <w:r>
        <w:t xml:space="preserve">  </w:t>
      </w:r>
      <w:r xmlns:wp="http://schemas.openxmlformats.org/drawingml/2010/wordprocessingDrawing" xmlns:w15="http://schemas.microsoft.com/office/word/2012/wordml">
        <w:rPr>
          <w:rFonts w:ascii="Arial" w:hAnsi="Arial" w:cs="Arial"/>
          <w:sz w:val="22"/>
          <w:szCs w:val="22"/>
        </w:rPr>
        <w:t xml:space="preserve">[PL 1995,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§931-A. Bylaws; disposal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§931-A. Bylaws; disposal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§931-A. BYLAWS; DISPOSAL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