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713. MISCELLANEOUS PROVISIONS RELATING TO FORECLOSURE OF REAL PROPERTY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