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6203-C</w:t>
        <w:t xml:space="preserve">.  </w:t>
      </w:r>
      <w:r>
        <w:rPr>
          <w:b/>
        </w:rPr>
        <w:t xml:space="preserve">Conveyance by mortgagor; effect</w:t>
      </w:r>
    </w:p>
    <w:p>
      <w:pPr>
        <w:jc w:val="both"/>
        <w:spacing w:before="100" w:after="100"/>
        <w:ind w:start="360"/>
        <w:ind w:firstLine="360"/>
      </w:pPr>
      <w:r>
        <w:rPr/>
      </w:r>
      <w:r>
        <w:rPr/>
      </w:r>
      <w:r>
        <w:t xml:space="preserve">A sale or transfer by the mortgagor shall not impair or annul any right or power of attorney given in the mortgage to the mortgagee to sell or to transfer the land as attorney or agent of the mortgagor.</w:t>
      </w:r>
      <w:r>
        <w:t xml:space="preserve">  </w:t>
      </w:r>
      <w:r xmlns:wp="http://schemas.openxmlformats.org/drawingml/2010/wordprocessingDrawing" xmlns:w15="http://schemas.microsoft.com/office/word/2012/wordml">
        <w:rPr>
          <w:rFonts w:ascii="Arial" w:hAnsi="Arial" w:cs="Arial"/>
          <w:sz w:val="22"/>
          <w:szCs w:val="22"/>
        </w:rPr>
        <w:t xml:space="preserve">[PL 1967, c. 424,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§6203-C. Conveyance by mortgagor;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§6203-C. Conveyance by mortgagor;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§6203-C. CONVEYANCE BY MORTGAGOR;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