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6656</w:t>
        <w:t xml:space="preserve">.  </w:t>
      </w:r>
      <w:r>
        <w:rPr>
          <w:b/>
        </w:rPr>
        <w:t xml:space="preserve">Service on missing defendant; agent; expenses</w:t>
      </w:r>
    </w:p>
    <w:p>
      <w:pPr>
        <w:jc w:val="both"/>
        <w:spacing w:before="100" w:after="100"/>
        <w:ind w:start="360"/>
        <w:ind w:firstLine="360"/>
      </w:pPr>
      <w:r>
        <w:rPr/>
      </w:r>
      <w:r>
        <w:rPr/>
      </w:r>
      <w:r>
        <w:t xml:space="preserve">Service in such action shall be as provided in </w:t>
      </w:r>
      <w:r>
        <w:t>section 6653</w:t>
      </w:r>
      <w:r>
        <w:t xml:space="preserve">. Notice given under this section shall be constructive service on all the defendants. 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compensation of his counsel, shall be determined by the court and paid by the plaintiff, against whom execution may issue therefor in the name of the agent, guardian ad litem or next friend.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§6656. Service on missing defendant; agent;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§6656. Service on missing defendant; agent;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§6656. SERVICE ON MISSING DEFENDANT; AGENT;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