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901</w:t>
        <w:t xml:space="preserve">.  </w:t>
      </w:r>
      <w:r>
        <w:rPr>
          <w:b/>
        </w:rPr>
        <w:t xml:space="preserve">Establishment</w:t>
      </w:r>
    </w:p>
    <w:p>
      <w:pPr>
        <w:jc w:val="both"/>
        <w:spacing w:before="100" w:after="100"/>
        <w:ind w:start="360"/>
        <w:ind w:firstLine="360"/>
      </w:pPr>
      <w:r>
        <w:rPr/>
      </w:r>
      <w:r>
        <w:rPr/>
      </w:r>
      <w:r>
        <w:t xml:space="preserve">The Criminal Records Review Commission, established by </w:t>
      </w:r>
      <w:r>
        <w:t>Title 5, section 12004‑I, subsection 52‑D</w:t>
      </w:r>
      <w:r>
        <w:t xml:space="preserve"> and referred to in this chapter as "the commission," is established for the purpose of conducting a continuing review of laws, rules and procedures pertaining to criminal history record information and submitting to the Legislature its findings and recommendations on an annual basis.  For the purposes of this chapter, "criminal history record information" has the same meaning as in </w:t>
      </w:r>
      <w:r>
        <w:t>section 703,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§901. Establishment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§901. Establishment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§901. ESTABLISHMENT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