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2110</w:t>
        <w:t xml:space="preserve">.  </w:t>
      </w:r>
      <w:r>
        <w:rPr>
          <w:b/>
        </w:rPr>
        <w:t xml:space="preserve">Subpoenas for victim's records</w:t>
      </w:r>
    </w:p>
    <w:p>
      <w:pPr>
        <w:jc w:val="both"/>
        <w:spacing w:before="100" w:after="100"/>
        <w:ind w:start="360"/>
        <w:ind w:firstLine="360"/>
      </w:pPr>
      <w:r>
        <w:rPr/>
      </w:r>
      <w:r>
        <w:rPr/>
      </w:r>
      <w:r>
        <w:t xml:space="preserve">A victim has the right to timely notice pursuant to </w:t>
      </w:r>
      <w:r>
        <w:t>section 2102, subsection 1, paragraph H</w:t>
      </w:r>
      <w:r>
        <w:t xml:space="preserve"> and must be given an opportunity to be heard at any criminal hearing or criminal court proceeding concerning a subpoena issued to a person other than the victim for any record that implicates a privilege or a confidentiality or privacy protection for the benefit of the victim as described in Rule 17A(f) of the Maine Rules of Unified Criminal Procedure, including, but not limited to, the victim's medical records, mental health counseling or treatment records, educational records, electronic device content information and electronic device location information.  For purposes of this paragraph, "electronic device content information" has the same meaning as in </w:t>
      </w:r>
      <w:r>
        <w:t>Title 16, chapter 3, subchapter 10</w:t>
      </w:r>
      <w:r>
        <w:t xml:space="preserve"> and "electronic device location information" has the same meaning as in </w:t>
      </w:r>
      <w:r>
        <w:t>Title 16, chapter 3, subchapter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695,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695,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§2110. Subpoenas for victim's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§2110. Subpoenas for victim's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§2110. SUBPOENAS FOR VICTIM'S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