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2111</w:t>
        <w:t xml:space="preserve">.  </w:t>
      </w:r>
      <w:r>
        <w:rPr>
          <w:b/>
        </w:rPr>
        <w:t xml:space="preserve">Presence of victim's attorney or advocate</w:t>
      </w:r>
    </w:p>
    <w:p>
      <w:pPr>
        <w:jc w:val="both"/>
        <w:spacing w:before="100" w:after="100"/>
        <w:ind w:start="360"/>
        <w:ind w:firstLine="360"/>
      </w:pPr>
      <w:r>
        <w:rPr/>
      </w:r>
      <w:r>
        <w:rPr/>
      </w:r>
      <w:r>
        <w:t xml:space="preserve">At any court proceeding in a criminal case in which a victim has a right to be heard, the victim may retain an attorney who may be present and speak on the victim's behalf or the victim may elect to have a victim witness advocate or victim witness coordinator speak on the victim's behalf.  Except as required to comply with Rule 4.2 of the Maine Rules of Professional Conduct governing communications with persons represented by counsel, treatment of the victim may not be affected or altered in any way due to the victim's decision to exercise this right.  For purposes of this section, "victim witness advocate" or "victim witness coordinator" has the same meaning as in </w:t>
      </w:r>
      <w:r>
        <w:t>Title 16, section 53‑C, subsection 1, 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695,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695,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§2111. Presence of victim's attorney or advocate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§2111. Presence of victim's attorney or advocate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17-A, §2111. PRESENCE OF VICTIM'S ATTORNEY OR ADVOCATE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