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§1041. EUTHANASIA BY PRESCRIBED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