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 Tax-related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Tax-related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§1218. TAX-RELATED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