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Noncharitable trust without ascertainable beneficiary</w:t>
      </w:r>
    </w:p>
    <w:p>
      <w:pPr>
        <w:jc w:val="both"/>
        <w:spacing w:before="100" w:after="100"/>
        <w:ind w:start="360"/>
        <w:ind w:firstLine="360"/>
      </w:pPr>
      <w:r>
        <w:rPr/>
      </w:r>
      <w:r>
        <w:rPr/>
      </w:r>
      <w:r>
        <w:t xml:space="preserve">Except as otherwise provided in </w:t>
      </w:r>
      <w:r>
        <w:t>section 408</w:t>
      </w:r>
      <w:r>
        <w:t xml:space="preserve"> or by another statute,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Noncharitable purpose.</w:t>
        <w:t xml:space="preserve"> </w:t>
      </w:r>
      <w:r>
        <w:t xml:space="preserve"> </w:t>
      </w:r>
      <w:r>
        <w:t xml:space="preserve">A trust may be created for a noncharitable purpose without a definite or definitely ascertainable beneficiary or for a noncharitable but otherwise valid purpose to be selected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Enforcement.</w:t>
        <w:t xml:space="preserve"> </w:t>
      </w:r>
      <w:r>
        <w:t xml:space="preserve"> </w:t>
      </w:r>
      <w:r>
        <w:t xml:space="preserve">A trust authorized by this section may be enforced by a person appointed in the terms of the trust or, if no person is so appointed, by a person appointed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Intended use of property.</w:t>
        <w:t xml:space="preserve"> </w:t>
      </w:r>
      <w:r>
        <w:t xml:space="preserve"> </w:t>
      </w:r>
      <w:r>
        <w:t xml:space="preserve">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 Noncharitable trust without ascertainable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Noncharitable trust without ascertainable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§409. NONCHARITABLE TRUST WITHOUT ASCERTAINABLE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