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3012</w:t>
        <w:t xml:space="preserve">.  </w:t>
      </w:r>
      <w:r>
        <w:rPr>
          <w:b/>
        </w:rPr>
        <w:t xml:space="preserve">Nondisclosure of information in exceptional circumstances</w:t>
      </w:r>
    </w:p>
    <w:p>
      <w:pPr>
        <w:jc w:val="both"/>
        <w:spacing w:before="100" w:after="100"/>
        <w:ind w:start="360"/>
        <w:ind w:firstLine="360"/>
      </w:pPr>
      <w:r>
        <w:rPr/>
      </w:r>
      <w:r>
        <w:rPr/>
      </w:r>
      <w:r>
        <w:t xml:space="preserve">If a party alleges in an affidavit or a pleading under oath that the health, safety or liberty of a party or child would be jeopardized by disclosure of specific identifying information, that information must be sealed and may not be disclosed to the other party or the public. After a hearing in which a tribunal takes into consideration the health, safety or liberty of the party or child, the tribunal may order disclosure of information that the tribunal determines to be in the interest of justice.</w:t>
      </w:r>
      <w:r>
        <w:t xml:space="preserve">  </w:t>
      </w:r>
      <w:r xmlns:wp="http://schemas.openxmlformats.org/drawingml/2010/wordprocessingDrawing" xmlns:w15="http://schemas.microsoft.com/office/word/2012/wordml">
        <w:rPr>
          <w:rFonts w:ascii="Arial" w:hAnsi="Arial" w:cs="Arial"/>
          <w:sz w:val="22"/>
          <w:szCs w:val="22"/>
        </w:rPr>
        <w:t xml:space="preserve">[PL 2003, c. 436, §22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§22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§3012. Nondisclosure of information in exceptional circumstances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§3012. Nondisclosure of information in exceptional circumstances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§3012. NONDISCLOSURE OF INFORMATION IN EXCEPTIONAL CIRCUMSTANCES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