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12314</w:t>
        <w:t xml:space="preserve">.  </w:t>
      </w:r>
      <w:r>
        <w:rPr>
          <w:b/>
        </w:rPr>
        <w:t xml:space="preserve">Stakeholder consultation</w:t>
      </w:r>
    </w:p>
    <w:p>
      <w:pPr>
        <w:jc w:val="both"/>
        <w:spacing w:before="100" w:after="100"/>
        <w:ind w:start="360"/>
        <w:ind w:firstLine="360"/>
      </w:pPr>
      <w:r>
        <w:rPr/>
      </w:r>
      <w:r>
        <w:rPr/>
      </w:r>
      <w:r>
        <w:t xml:space="preserve">In implementing, administering and assessing the effectiveness of the program and the fund, the authority shall consult with the University of Maine System and may engage additional stakeholders from the legal community, including, but not limited to, representatives of legal education communities and legal practice communities in the State and organizations representing the interests of underserved areas in the State.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§12314. Stakeholder consultation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§12314. Stakeholder consultation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§12314. STAKEHOLDER CONSULTATION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