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4774</w:t>
        <w:t xml:space="preserve">.  </w:t>
      </w:r>
      <w:r>
        <w:rPr>
          <w:b/>
        </w:rPr>
        <w:t xml:space="preserve">Credits</w:t>
      </w:r>
    </w:p>
    <w:p>
      <w:pPr>
        <w:jc w:val="both"/>
        <w:spacing w:before="100" w:after="0"/>
        <w:ind w:start="360"/>
        <w:ind w:firstLine="360"/>
      </w:pPr>
      <w:r>
        <w:rPr>
          <w:b/>
        </w:rPr>
        <w:t>1</w:t>
        <w:t xml:space="preserve">.  </w:t>
      </w:r>
      <w:r>
        <w:rPr>
          <w:b/>
        </w:rPr>
        <w:t xml:space="preserve">High school credit.</w:t>
        <w:t xml:space="preserve"> </w:t>
      </w:r>
      <w:r>
        <w:t xml:space="preserve"> </w:t>
      </w:r>
      <w:r>
        <w:t xml:space="preserve">A school administrative unit may grant academic credit toward a high school diploma to a student who successfully completes a course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w:t>
      </w:r>
    </w:p>
    <w:p>
      <w:pPr>
        <w:jc w:val="both"/>
        <w:spacing w:before="100" w:after="0"/>
        <w:ind w:start="360"/>
        <w:ind w:firstLine="360"/>
      </w:pPr>
      <w:r>
        <w:rPr>
          <w:b/>
        </w:rPr>
        <w:t>2</w:t>
        <w:t xml:space="preserve">.  </w:t>
      </w:r>
      <w:r>
        <w:rPr>
          <w:b/>
        </w:rPr>
        <w:t xml:space="preserve">Postsecondary credit.</w:t>
        <w:t xml:space="preserve"> </w:t>
      </w:r>
      <w:r>
        <w:t xml:space="preserve"> </w:t>
      </w:r>
      <w:r>
        <w:t xml:space="preserve">The eligible institution shall grant full credit to any student who successfully completes a course at the eligible institution under this chapter.  The course must apply to graduation requirements at the eligible institution in which it was taken or be transferable to another eligible institution on an equal basis with a course taken by any other student at the eligible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§4774. Credits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§4774. Credits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§4774. CREDITS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