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Financial responsibility</w:t>
      </w:r>
    </w:p>
    <w:p>
      <w:pPr>
        <w:jc w:val="both"/>
        <w:spacing w:before="100" w:after="100"/>
        <w:ind w:start="360"/>
        <w:ind w:firstLine="360"/>
      </w:pPr>
      <w:r>
        <w:rPr/>
      </w:r>
      <w:r>
        <w:rPr/>
      </w:r>
      <w:r>
        <w:t xml:space="preserve">Unless the parent or guardian expressly agrees to assume full or partial responsibility, a minor who consents to health care services as provided in this chapter is responsible for the costs of those services.  A minor may not be denied benefits or services to which the minor is entitled from a health care practitioner, health care provider, insurer or public agency because the minor has given the consent for those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§1506.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§1506.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