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Funds</w:t>
      </w:r>
    </w:p>
    <w:p>
      <w:pPr>
        <w:jc w:val="both"/>
        <w:spacing w:before="100" w:after="100"/>
        <w:ind w:start="360"/>
        <w:ind w:firstLine="360"/>
      </w:pPr>
      <w:r>
        <w:rPr/>
      </w:r>
      <w:r>
        <w:rPr/>
      </w:r>
      <w:r>
        <w:t xml:space="preserve">The department is authorized to receive and disburse such funds as may be available to it for family planning services to any nonprofit organization, public or private, engaged in providing such services. Family planning programs administered by the department may be developed in consultation, in coordination or on a contractual basis with other family planning agencies in this State, including, but not limited to, the Family Planning Association of Maine, Inc., and its affiliates.</w:t>
      </w:r>
      <w:r>
        <w:t xml:space="preserve">  </w:t>
      </w:r>
      <w:r xmlns:wp="http://schemas.openxmlformats.org/drawingml/2010/wordprocessingDrawing" xmlns:w15="http://schemas.microsoft.com/office/word/2012/wordml">
        <w:rPr>
          <w:rFonts w:ascii="Arial" w:hAnsi="Arial" w:cs="Arial"/>
          <w:sz w:val="22"/>
          <w:szCs w:val="22"/>
        </w:rPr>
        <w:t xml:space="preserve">[PL 2019, c. 236,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1975, c. 293, §4 (AMD). PL 2003, c. 689, §B6 (REV). PL 2019, c. 236,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§1905.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