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1912</w:t>
        <w:t xml:space="preserve">.  </w:t>
      </w:r>
      <w:r>
        <w:rPr>
          <w:b/>
        </w:rPr>
        <w:t xml:space="preserve">Funding for Maine Title X grantees; substitute funding</w:t>
      </w:r>
    </w:p>
    <w:p>
      <w:pPr>
        <w:jc w:val="both"/>
        <w:spacing w:before="100" w:after="100"/>
        <w:ind w:start="360"/>
        <w:ind w:firstLine="360"/>
      </w:pPr>
      <w:r>
        <w:rPr/>
      </w:r>
      <w:r>
        <w:rPr/>
      </w:r>
      <w:r>
        <w:t xml:space="preserve">For any fiscal year after state fiscal year 2024-25, if the funding previously received by a Maine Title X grantee under the Title X program is reduced relative to the funds received in fiscal year 2024-25 or is eliminated as a result of action by the Federal Government or of a decision by the grantee to withdraw from receiving funding under the Title X program due to the imposition of conditions attached to the funding, the department shall grant state funds to the Maine Title X grantee equal to the difference between the amount the grantee received from the Title X program in fiscal year 2024-25 and the amount the grantee receives and accepts in any subsequent fiscal year.</w:t>
      </w:r>
      <w:r>
        <w:t xml:space="preserve">  </w:t>
      </w:r>
      <w:r xmlns:wp="http://schemas.openxmlformats.org/drawingml/2010/wordprocessingDrawing" xmlns:w15="http://schemas.microsoft.com/office/word/2012/wordml">
        <w:rPr>
          <w:rFonts w:ascii="Arial" w:hAnsi="Arial" w:cs="Arial"/>
          <w:sz w:val="22"/>
          <w:szCs w:val="22"/>
        </w:rPr>
        <w:t xml:space="preserve">[PL 2025, c. 650, Pt. Z,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Z, §3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§1912. Funding for Maine Title X grantees; substitute funding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§1912. Funding for Maine Title X grantees; substitute funding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§1912. FUNDING FOR MAINE TITLE X GRANTEES; SUBSTITUTE FUNDING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