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Source material processing and related material</w:t>
      </w:r>
    </w:p>
    <w:p>
      <w:pPr>
        <w:jc w:val="both"/>
        <w:spacing w:before="100" w:after="100"/>
        <w:ind w:start="360"/>
        <w:ind w:firstLine="360"/>
      </w:pPr>
      <w:r>
        <w:rPr/>
      </w:r>
      <w:r>
        <w:rPr/>
      </w:r>
      <w:r>
        <w:t xml:space="preserve">State regulation of source material processing shall be subject to the primary jurisdiction of the Department of Environmental Protection, as specified in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§678. Source material processing and related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Source material processing and related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§678. SOURCE MATERIAL PROCESSING AND RELATED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