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§7249-A. REPORTING OF METHADONE TREATMENT WITH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