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3159</w:t>
        <w:t xml:space="preserve">.  </w:t>
      </w:r>
      <w:r>
        <w:rPr>
          <w:b/>
        </w:rPr>
        <w:t xml:space="preserve">Enforcement</w:t>
      </w:r>
    </w:p>
    <w:p>
      <w:pPr>
        <w:jc w:val="both"/>
        <w:spacing w:before="100" w:after="100"/>
        <w:ind w:start="360"/>
        <w:ind w:firstLine="360"/>
      </w:pPr>
      <w:r>
        <w:rPr/>
      </w:r>
      <w:r>
        <w:rPr/>
      </w:r>
      <w:r>
        <w:t xml:space="preserve">The superintendent may assess a civil penalty or take any other action permitted under </w:t>
      </w:r>
      <w:r>
        <w:t>section 12‑A</w:t>
      </w:r>
      <w:r>
        <w:t xml:space="preserve"> against any person that violates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