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2055</w:t>
        <w:t xml:space="preserve">.  </w:t>
      </w:r>
      <w:r>
        <w:rPr>
          <w:b/>
        </w:rPr>
        <w:t xml:space="preserve">Penalty</w:t>
      </w:r>
    </w:p>
    <w:p>
      <w:pPr>
        <w:jc w:val="both"/>
        <w:spacing w:before="100" w:after="100"/>
        <w:ind w:start="360"/>
        <w:ind w:firstLine="360"/>
      </w:pPr>
      <w:r>
        <w:rPr/>
      </w:r>
      <w:r>
        <w:rPr/>
      </w:r>
      <w:r>
        <w:t xml:space="preserve">A person who violates this chapter commits a Class E crime.  Except as otherwise specifically provided, violation of this chapter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N, §5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PL 2003, c. 452, §N5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§2055.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