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2243</w:t>
        <w:t xml:space="preserve">.  </w:t>
      </w:r>
      <w:r>
        <w:rPr>
          <w:b/>
        </w:rPr>
        <w:t xml:space="preserve">Jurisdiction and venue</w:t>
      </w:r>
    </w:p>
    <w:p>
      <w:pPr>
        <w:jc w:val="both"/>
        <w:spacing w:before="100" w:after="0"/>
        <w:ind w:start="360"/>
        <w:ind w:firstLine="360"/>
      </w:pPr>
      <w:r>
        <w:rPr>
          <w:b/>
        </w:rPr>
        <w:t>1</w:t>
        <w:t xml:space="preserve">.  </w:t>
      </w:r>
      <w:r>
        <w:rPr>
          <w:b/>
        </w:rPr>
        <w:t xml:space="preserve">Jurisdiction.</w:t>
        <w:t xml:space="preserve"> </w:t>
      </w:r>
      <w:r>
        <w:t xml:space="preserve"> </w:t>
      </w:r>
      <w:r>
        <w:t xml:space="preserve">The court has jurisdiction over proceedings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w:pPr>
        <w:jc w:val="both"/>
        <w:spacing w:before="100" w:after="0"/>
        <w:ind w:start="360"/>
        <w:ind w:firstLine="360"/>
      </w:pPr>
      <w:r>
        <w:rPr>
          <w:b/>
        </w:rPr>
        <w:t>2</w:t>
        <w:t xml:space="preserve">.  </w:t>
      </w:r>
      <w:r>
        <w:rPr>
          <w:b/>
        </w:rPr>
        <w:t xml:space="preserve">Venue.</w:t>
        <w:t xml:space="preserve"> </w:t>
      </w:r>
      <w:r>
        <w:t xml:space="preserve"> </w:t>
      </w:r>
      <w:r>
        <w:t xml:space="preserve">A proceeding under this chapter must be commenced in the judicial division where the respondent resides or where events that give rise to the petition occurred.  If a District Court Judge is not available in the division in which a petition is to be filed requesting an extreme risk protection order under </w:t>
      </w:r>
      <w:r>
        <w:t>section 2244</w:t>
      </w:r>
      <w:r>
        <w:t xml:space="preserve"> or an emergency extreme risk protection order under </w:t>
      </w:r>
      <w:r>
        <w:t>section 2245</w:t>
      </w:r>
      <w:r>
        <w:t xml:space="preserve">, the petition and any accompanying motion may be presented to any other District Court Judge or to any Superior Court Justice who has the same authority as a District Court Judge to grant or deny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2025, c. 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§2243. Jurisdiction and 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§2243. Jurisdiction and venue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§2243. JURISDICTION AND 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