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§2463. Installation of sprinkler systems and smoke, heat or fire detection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Installation of sprinkler systems and smoke, heat or fire detection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§2463. INSTALLATION OF SPRINKLER SYSTEMS AND SMOKE, HEAT OR FIRE DETECTION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