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Definitions</w:t>
      </w:r>
    </w:p>
    <w:p>
      <w:pPr>
        <w:jc w:val="both"/>
        <w:spacing w:before="100" w:after="100"/>
        <w:ind w:start="360"/>
        <w:ind w:firstLine="360"/>
      </w:pPr>
      <w:r>
        <w:rPr/>
      </w:r>
      <w:r>
        <w:rPr/>
      </w:r>
      <w:r>
        <w:t xml:space="preserve">The words "public way" or "public ways," when used in this chapter, or regulations issued thereunder, shall be held to mean all roads and driveways on lands maintained for the State Government at the capital area or other state controlled locations in Augusta.</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The words "parking area" or "parking areas," when used in this chapter, or regulations issued thereunder, shall be held to mean all lands maintained by the State at the capitol area or other state controlled locations in Augusta which may be designated as parking areas by the State Director of Public Improvements or by the superintendent of the Riverview Psychiatric Center, with the approval of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1987, c. 416, §2 (AMD); PL 2005, c. 236,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§2 (AMD). PL 2005, c. 236,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