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state and local government matters shall review the provisions and effects of this chapter no later than March 30, 2032 and at least once every 10 years thereafter.  The committee may report out legislation during the session of the Legislature in which a review under this section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617,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2013, c. 505, §2 (AMD). PL 2021, c. 617,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§963.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§963.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