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3535</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in accordance with </w:t>
      </w:r>
      <w:r>
        <w:t>Title 13, section 903</w:t>
      </w:r>
      <w:r>
        <w:t xml:space="preserve">.  The certificate must set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Purposes.</w:t>
        <w:t xml:space="preserve"> </w:t>
      </w:r>
      <w:r>
        <w:t xml:space="preserve"> </w:t>
      </w:r>
      <w:r>
        <w:t xml:space="preserve">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100"/>
        <w:ind w:start="360"/>
        <w:ind w:firstLine="360"/>
      </w:pPr>
      <w:r>
        <w:rPr/>
      </w:r>
      <w:r>
        <w:rPr/>
      </w:r>
      <w:r>
        <w:t xml:space="preserve">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§3535.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§3535.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§3535.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