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Application</w:t>
      </w:r>
    </w:p>
    <w:p>
      <w:pPr>
        <w:jc w:val="both"/>
        <w:spacing w:before="100" w:after="100"/>
        <w:ind w:start="360"/>
        <w:ind w:firstLine="360"/>
      </w:pPr>
      <w:r>
        <w:rPr/>
      </w:r>
      <w:r>
        <w:rPr/>
      </w:r>
      <w:r>
        <w:t xml:space="preserve">This subchapter does not apply to transactions involving only beverage containers.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