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Establishment</w:t>
      </w:r>
    </w:p>
    <w:p>
      <w:pPr>
        <w:jc w:val="both"/>
        <w:spacing w:before="100" w:after="100"/>
        <w:ind w:start="360"/>
        <w:ind w:firstLine="360"/>
      </w:pPr>
      <w:r>
        <w:rPr/>
      </w:r>
      <w:r>
        <w:rPr/>
      </w:r>
      <w:r>
        <w:t xml:space="preserve">The county commissioners may establish, after a public hearing, a County Personnel Board.  The County Personnel Board has the duties and powers set forth in </w:t>
      </w:r>
      <w:r>
        <w:t>section 501</w:t>
      </w:r>
      <w:r>
        <w:t xml:space="preserve"> and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