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5229</w:t>
        <w:t xml:space="preserve">.  </w:t>
      </w:r>
      <w:r>
        <w:rPr>
          <w:b/>
        </w:rPr>
        <w:t xml:space="preserve">Rules</w:t>
      </w:r>
    </w:p>
    <w:p>
      <w:pPr>
        <w:jc w:val="both"/>
        <w:spacing w:before="100" w:after="100"/>
        <w:ind w:start="360"/>
        <w:ind w:firstLine="360"/>
      </w:pPr>
      <w:r>
        <w:rPr/>
      </w:r>
      <w:r>
        <w:rPr/>
      </w:r>
      <w:r>
        <w:t xml:space="preserve">The commissioner may adopt rules necessary to carry out the duties imposed by this chapter and to ensure municipal or plantation compliance with this subchapter following designation of a tax increment financing district.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§5229.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