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§5249. Project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§5249. Project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§5249. PROJECT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