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w:t>
        <w:t xml:space="preserve">.  </w:t>
      </w:r>
      <w:r>
        <w:rPr>
          <w:b/>
        </w:rPr>
        <w:t xml:space="preserve">Procedure</w:t>
      </w:r>
    </w:p>
    <w:p>
      <w:pPr>
        <w:jc w:val="both"/>
        <w:spacing w:before="100" w:after="0"/>
        <w:ind w:start="360"/>
        <w:ind w:firstLine="360"/>
      </w:pPr>
      <w:r>
        <w:rPr>
          <w:b/>
        </w:rPr>
        <w:t>1</w:t>
        <w:t xml:space="preserve">.  </w:t>
      </w:r>
      <w:r>
        <w:rPr>
          <w:b/>
        </w:rPr>
        <w:t xml:space="preserve">Notice and hearing.</w:t>
        <w:t xml:space="preserve"> </w:t>
      </w:r>
      <w:r>
        <w:t xml:space="preserve"> </w:t>
      </w:r>
      <w:r>
        <w:t xml:space="preserve">Before designating an affordable housing development district or adopting an affordable housing development program, the municipal legislative body or the municipal legislative body's designee must hold at least one public hearing on the proposed district. Notice of the hearing must be published at least 10 days before the hearing in a newspaper of general circulation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Review by director.</w:t>
        <w:t xml:space="preserve"> </w:t>
      </w:r>
      <w:r>
        <w:t xml:space="preserve"> </w:t>
      </w:r>
      <w:r>
        <w:t xml:space="preserve">Before final designation of an affordable housing development district, the director shall review the proposal for the district to ensure that the proposal complies with statutory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A designation of an affordable housing development district is effective upon approval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Administration of district.</w:t>
        <w:t xml:space="preserve"> </w:t>
      </w:r>
      <w:r>
        <w:t xml:space="preserve"> </w:t>
      </w:r>
      <w:r>
        <w:t xml:space="preserve">The legislative body of a municipality may create a department, designate an existing department, office, agency, municipal housing or redevelopment authority or enter into a contractual arrangement with a private entity to administer activities authorized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5</w:t>
        <w:t xml:space="preserve">.  </w:t>
      </w:r>
      <w:r>
        <w:rPr>
          <w:b/>
        </w:rPr>
        <w:t xml:space="preserve">Amendments.</w:t>
        <w:t xml:space="preserve"> </w:t>
      </w:r>
      <w:r>
        <w:t xml:space="preserve"> </w:t>
      </w:r>
      <w:r>
        <w:t xml:space="preserve">A municipality may amend a designated affordable housing development district or an adopted affordable housing development program only after meeting the requirements of this section for designation of an affordable housing development district or adoption of an affordable housing development program. A municipality may not amend the designation of an affordable housing development district if the amendment would result in the district's being out of compliance with any of the conditions in </w:t>
      </w:r>
      <w:r>
        <w:t>section 5247,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