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5250-M</w:t>
        <w:t xml:space="preserve">.  </w:t>
      </w:r>
      <w:r>
        <w:rPr>
          <w:b/>
        </w:rPr>
        <w:t xml:space="preserve">Program administration; rules</w:t>
      </w:r>
    </w:p>
    <w:p>
      <w:pPr>
        <w:jc w:val="both"/>
        <w:spacing w:before="100" w:after="100"/>
        <w:ind w:start="360"/>
        <w:ind w:firstLine="360"/>
      </w:pPr>
      <w:r>
        <w:rPr/>
      </w:r>
      <w:r>
        <w:rPr/>
      </w:r>
      <w:r>
        <w:t xml:space="preserve">The commissioner shall administer this subchapter. The commissioner shall adopt rules pursuant to the Maine Administrative Procedure Act for implementation of Pine Tree Development Zones, including, but not limited to, rules for determining and certifying eligibility, selecting zones for designation and evaluating on a periodic basis the progress and success of each zone in achieving its goals.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§5250-M. Program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§5250-M. Program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§5250-M. PROGRAM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