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Membership</w:t>
      </w:r>
    </w:p>
    <w:p>
      <w:pPr>
        <w:jc w:val="both"/>
        <w:spacing w:before="100" w:after="100"/>
        <w:ind w:start="360"/>
        <w:ind w:firstLine="360"/>
      </w:pPr>
      <w:r>
        <w:rPr/>
      </w:r>
      <w:r>
        <w:rPr/>
      </w:r>
      <w:r>
        <w:t xml:space="preserve">The Board of Emergency Municipal Finance, established in accordance with </w:t>
      </w:r>
      <w:r>
        <w:t>Title 5, section 12004‑I, subsection 25‑A</w:t>
      </w:r>
      <w:r>
        <w:t xml:space="preserve">, and referred to in this chapter as the "board," shall be composed of the 3 persons who hold the offices of the Commissioner of Finance, Treasurer of State and State Tax Assessor.  The successor of any person to any of these offices immediately becomes a member of the board and the person who formerly held that office ceases to be such a member.  The person holding the office of State Tax Assessor is the chair of the board.  The members of the board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A, §51 (AMD); PL 1989, c. 104, Pt. C, §§8, 10 (AMD); PL 1989, c. 878, Pt. A,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§§A51,C8,C10 (AMD). PL 1989, c. 878, §A90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§6101.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