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503, §B157 (AMD). PL 1991, c. 338, §2 (AMD). PL 1993, c. 600, §A267 (AMD). PL 2001, c. 166, §2 (AMD). PL 2007, c. 402, Pt. CC, §1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