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2596-A</w:t>
        <w:t xml:space="preserve">.  </w:t>
      </w:r>
      <w:r>
        <w:rPr>
          <w:b/>
        </w:rPr>
        <w:t xml:space="preserve">Establishment of protocols for operation of a professional review committee</w:t>
      </w:r>
    </w:p>
    <w:p>
      <w:pPr>
        <w:jc w:val="both"/>
        <w:spacing w:before="100" w:after="100"/>
        <w:ind w:start="360"/>
        <w:ind w:firstLine="360"/>
      </w:pPr>
      <w:r>
        <w:rPr/>
      </w:r>
      <w:r>
        <w:rPr/>
      </w:r>
      <w:r>
        <w:t xml:space="preserve">The board shall establish a protocol to govern the operation of a professional review committee as defined in </w:t>
      </w:r>
      <w:r>
        <w:t>Title 24, section 2502, subsection 4‑A</w:t>
      </w:r>
      <w:r>
        <w:t xml:space="preserve">.  The protocol must require the professional review committee to submit to the board information specified by the board regarding reports received by the professional review committee, as well as an annotated list of contacts or investigations made by the professional review committee and the disposition of each report, except that the committee may not be compelled to disclose information that may serve to identify the subject of a report.  The protocol may not prohibit an impaired physician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600, Pt. A, §190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§2596-A. ESTABLISHMENT OF PROTOCOLS FOR OPERATION OF A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