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2600-CC</w:t>
        <w:t xml:space="preserve">.  </w:t>
      </w:r>
      <w:r>
        <w:rPr>
          <w:b/>
        </w:rPr>
        <w:t xml:space="preserve">Confidentiality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When providing telehealth services, a person licensed under this chapter shall comply with all state and federal confidentiality and privacy laws.</w:t>
      </w:r>
      <w:r>
        <w:t xml:space="preserve">  </w:t>
      </w:r>
      <w:r xmlns:wp="http://schemas.openxmlformats.org/drawingml/2010/wordprocessingDrawing" xmlns:w15="http://schemas.microsoft.com/office/word/2012/wordml">
        <w:rPr>
          <w:rFonts w:ascii="Arial" w:hAnsi="Arial" w:cs="Arial"/>
          <w:sz w:val="22"/>
          <w:szCs w:val="22"/>
        </w:rPr>
        <w:t xml:space="preserve">[PL 2021, c. 291, Pt. B,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§2600-CC. Confidentiality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§2600-CC. Confidentiality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§2600-CC. CONFIDENTIALITY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