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3300-BB</w:t>
        <w:t xml:space="preserve">.  </w:t>
      </w:r>
      <w:r>
        <w:rPr>
          <w:b/>
        </w:rPr>
        <w:t xml:space="preserve">Telehealth services permitted</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 person licensed under this chapter may provide telehealth services as long as the licensee acts within the scope of practice of the licensee's license, in accordance with any requirements and restrictions imposed by this subchapter and in accordance with standards of practice.</w:t>
      </w:r>
      <w:r>
        <w:t xml:space="preserve">  </w:t>
      </w:r>
      <w:r xmlns:wp="http://schemas.openxmlformats.org/drawingml/2010/wordprocessingDrawing" xmlns:w15="http://schemas.microsoft.com/office/word/2012/wordml">
        <w:rPr>
          <w:rFonts w:ascii="Arial" w:hAnsi="Arial" w:cs="Arial"/>
          <w:sz w:val="22"/>
          <w:szCs w:val="22"/>
        </w:rPr>
        <w:t xml:space="preserve">[PL 2021, c. 291, Pt. B, §9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§9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§3300-BB. Telehealth services permitted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§3300-BB. Telehealth services permitted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§3300-BB. TELEHEALTH SERVICES PERMITTED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