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6100-AA</w:t>
        <w:t xml:space="preserve">.  </w:t>
      </w:r>
      <w:r>
        <w:rPr>
          <w:b/>
        </w:rPr>
        <w:t xml:space="preserve">Consent agreements</w:t>
      </w:r>
    </w:p>
    <w:p>
      <w:pPr>
        <w:jc w:val="both"/>
        <w:spacing w:before="100" w:after="100"/>
        <w:ind w:start="360"/>
        <w:ind w:firstLine="360"/>
      </w:pPr>
      <w:r>
        <w:rPr/>
      </w:r>
      <w:r>
        <w:rPr/>
      </w:r>
      <w:r>
        <w:t xml:space="preserve">The administrator may enter into a consent agreement at any time with a person to resolve a matter arising under this Act or a rule adopted or order issued under this Act.  A consent agreement must be signed by the person to whom it is issued or by the person's authorized representative and must indicate agreement with the terms contained in the agreement.  A consent agreement may contain a provision that it does not constitute an admission by a person that this Act or a rule adopted or order issued under this Act has been violated.  A consent agreement may be entered into only with the consent of the applicant, licensee or registrant; the administrator; and the Attorney General.  A remedy, penalty or fine that is otherwise available by law, even if only in the jurisdiction of the Superior Court, may be achieved by consent agreement, including long-term suspension and permanent revocation of a license and revocation of a designation of an authorized delegate.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§6100-AA. Consent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§6100-AA. Consent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§6100-AA. CONSENT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