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6100-UU</w:t>
        <w:t xml:space="preserve">.  </w:t>
      </w:r>
      <w:r>
        <w:rPr>
          <w:b/>
        </w:rPr>
        <w:t xml:space="preserve">Requirements for unhosted wallets</w:t>
      </w:r>
    </w:p>
    <w:p>
      <w:pPr>
        <w:jc w:val="both"/>
        <w:spacing w:before="100" w:after="100"/>
        <w:ind w:start="360"/>
        <w:ind w:firstLine="360"/>
      </w:pPr>
      <w:r>
        <w:rPr/>
      </w:r>
      <w:r>
        <w:rPr/>
      </w:r>
      <w:r>
        <w:t xml:space="preserve">A licensee shall identify the recipient of virtual currency or monetary value transferred to an unhosted wallet.  If the sender claims that it is also the recipient of the transferred virtual currency or monetary value, attestation by the sender alone is not sufficient to meet this identification requirement.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§6100-UU. Requirements for unhosted wallets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§6100-UU. Requirements for unhosted wallets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§6100-UU. REQUIREMENTS FOR UNHOSTED WALLETS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